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369C7" w14:textId="77777777" w:rsidR="002C5A95" w:rsidRDefault="00D4486F" w:rsidP="00D4486F">
      <w:pPr>
        <w:spacing w:line="240" w:lineRule="auto"/>
        <w:rPr>
          <w:rFonts w:ascii="Times" w:hAnsi="Times"/>
          <w:b/>
          <w:bCs/>
          <w:i/>
          <w:iCs/>
          <w:noProof/>
          <w:color w:val="auto"/>
          <w:sz w:val="44"/>
          <w:szCs w:val="44"/>
        </w:rPr>
      </w:pPr>
      <w:r w:rsidRPr="00D4486F">
        <w:rPr>
          <w:rFonts w:ascii="Times" w:hAnsi="Times"/>
          <w:b/>
          <w:bCs/>
          <w:i/>
          <w:iCs/>
          <w:noProof/>
          <w:color w:val="FF0000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F7D9758" wp14:editId="60DE4F71">
            <wp:simplePos x="0" y="0"/>
            <wp:positionH relativeFrom="margin">
              <wp:posOffset>71543</wp:posOffset>
            </wp:positionH>
            <wp:positionV relativeFrom="paragraph">
              <wp:posOffset>12700</wp:posOffset>
            </wp:positionV>
            <wp:extent cx="1282700" cy="1282700"/>
            <wp:effectExtent l="0" t="0" r="0" b="0"/>
            <wp:wrapSquare wrapText="bothSides"/>
            <wp:docPr id="5" name="Picture 5" descr="https://www.fdrsinc.org/newsite/wp-content/uploads/2018/12/logo-1-1000x1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drsinc.org/newsite/wp-content/uploads/2018/12/logo-1-1000x10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066" w:rsidRPr="004B0066">
        <w:rPr>
          <w:rFonts w:ascii="Times" w:hAnsi="Times"/>
          <w:b/>
          <w:bCs/>
          <w:i/>
          <w:iCs/>
          <w:noProof/>
          <w:color w:val="auto"/>
          <w:sz w:val="44"/>
          <w:szCs w:val="44"/>
        </w:rPr>
        <w:t xml:space="preserve"> </w:t>
      </w:r>
    </w:p>
    <w:p w14:paraId="34A7B596" w14:textId="77777777" w:rsidR="002C5A95" w:rsidRDefault="002C5A95" w:rsidP="00D4486F">
      <w:pPr>
        <w:spacing w:line="240" w:lineRule="auto"/>
        <w:rPr>
          <w:rFonts w:ascii="Times New Roman" w:eastAsia="Times New Roman" w:hAnsi="Times New Roman" w:cs="Times New Roman"/>
          <w:color w:val="auto"/>
          <w:sz w:val="36"/>
          <w:szCs w:val="22"/>
        </w:rPr>
      </w:pPr>
      <w:r w:rsidRPr="002C5A95">
        <w:rPr>
          <w:rFonts w:ascii="Times" w:hAnsi="Times"/>
          <w:b/>
          <w:bCs/>
          <w:i/>
          <w:iCs/>
          <w:noProof/>
          <w:color w:val="auto"/>
          <w:sz w:val="40"/>
          <w:szCs w:val="44"/>
        </w:rPr>
        <w:t xml:space="preserve">Doug and Anne Richardson </w:t>
      </w:r>
      <w:r w:rsidR="004B0066" w:rsidRPr="002C5A95">
        <w:rPr>
          <w:rFonts w:ascii="Times" w:hAnsi="Times"/>
          <w:b/>
          <w:bCs/>
          <w:i/>
          <w:iCs/>
          <w:noProof/>
          <w:color w:val="auto"/>
          <w:sz w:val="40"/>
          <w:szCs w:val="44"/>
        </w:rPr>
        <w:t xml:space="preserve">Engagement Award </w:t>
      </w:r>
    </w:p>
    <w:p w14:paraId="1A576351" w14:textId="30EC7D0C" w:rsidR="00D4486F" w:rsidRDefault="00D4486F" w:rsidP="00D4486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22"/>
        </w:rPr>
      </w:pPr>
      <w:r w:rsidRPr="004B0066">
        <w:rPr>
          <w:rFonts w:ascii="Times New Roman" w:eastAsia="Times New Roman" w:hAnsi="Times New Roman" w:cs="Times New Roman"/>
          <w:color w:val="auto"/>
          <w:sz w:val="36"/>
          <w:szCs w:val="22"/>
        </w:rPr>
        <w:t xml:space="preserve"> </w:t>
      </w:r>
      <w:r w:rsidR="002C5A95">
        <w:rPr>
          <w:rFonts w:ascii="Times New Roman" w:eastAsia="Times New Roman" w:hAnsi="Times New Roman" w:cs="Times New Roman"/>
          <w:color w:val="auto"/>
          <w:sz w:val="36"/>
          <w:szCs w:val="22"/>
        </w:rPr>
        <w:t xml:space="preserve"> For Research on </w:t>
      </w:r>
      <w:r w:rsidRPr="004B0066">
        <w:rPr>
          <w:rFonts w:ascii="Times New Roman" w:eastAsia="Times New Roman" w:hAnsi="Times New Roman" w:cs="Times New Roman"/>
          <w:color w:val="auto"/>
          <w:sz w:val="36"/>
          <w:szCs w:val="22"/>
        </w:rPr>
        <w:t>Food Distribution and Marketing</w:t>
      </w:r>
      <w:r w:rsidR="004B0066">
        <w:rPr>
          <w:rFonts w:ascii="Times New Roman" w:eastAsia="Times New Roman" w:hAnsi="Times New Roman" w:cs="Times New Roman"/>
          <w:color w:val="auto"/>
          <w:sz w:val="36"/>
          <w:szCs w:val="22"/>
        </w:rPr>
        <w:t xml:space="preserve"> Issues</w:t>
      </w:r>
    </w:p>
    <w:p w14:paraId="2589DDF0" w14:textId="77777777" w:rsidR="004E2413" w:rsidRPr="0093597A" w:rsidRDefault="004E2413" w:rsidP="00D4486F">
      <w:pPr>
        <w:spacing w:line="240" w:lineRule="auto"/>
        <w:rPr>
          <w:sz w:val="22"/>
          <w:szCs w:val="44"/>
        </w:rPr>
      </w:pPr>
    </w:p>
    <w:tbl>
      <w:tblPr>
        <w:tblW w:w="0" w:type="auto"/>
        <w:tblInd w:w="90" w:type="dxa"/>
        <w:tblBorders>
          <w:insideH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0"/>
      </w:tblGrid>
      <w:tr w:rsidR="00E313DF" w14:paraId="410E3C48" w14:textId="77777777" w:rsidTr="004E2413">
        <w:trPr>
          <w:trHeight w:val="1098"/>
        </w:trPr>
        <w:tc>
          <w:tcPr>
            <w:tcW w:w="10710" w:type="dxa"/>
            <w:vAlign w:val="center"/>
          </w:tcPr>
          <w:p w14:paraId="15ABFA52" w14:textId="77777777" w:rsidR="00CE0E5A" w:rsidRDefault="00CE0E5A" w:rsidP="003133E3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</w:p>
          <w:p w14:paraId="35140CEA" w14:textId="4FA9B90C" w:rsidR="004E2413" w:rsidRDefault="004B0066" w:rsidP="003133E3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Brand new in 2020, </w:t>
            </w:r>
            <w:r w:rsidR="00D4486F" w:rsidRP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the Food Distribution Research Society (FDRS) </w:t>
            </w:r>
            <w:r w:rsidR="0093597A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seeks</w:t>
            </w:r>
            <w:r w:rsidR="00D4486F" w:rsidRP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applica</w:t>
            </w:r>
            <w:r w:rsidR="002245C6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n</w:t>
            </w:r>
            <w:r w:rsidR="00D4486F" w:rsidRP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t</w:t>
            </w:r>
            <w:r w:rsidR="00E24CB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s</w:t>
            </w:r>
            <w:r w:rsidR="00D4486F" w:rsidRP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for the </w:t>
            </w:r>
            <w:r w:rsidRPr="004B0066">
              <w:rPr>
                <w:rFonts w:ascii="Times" w:eastAsia="Times New Roman" w:hAnsi="Times" w:cs="Times New Roman"/>
                <w:b/>
                <w:color w:val="000000" w:themeColor="text1"/>
                <w:sz w:val="28"/>
                <w:szCs w:val="28"/>
              </w:rPr>
              <w:t>Doug and Anne Richardson Research and Engagement Award</w:t>
            </w:r>
            <w:r w:rsidR="00D4486F" w:rsidRP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, which are awarded </w:t>
            </w:r>
            <w:r w:rsidR="0093597A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to those </w:t>
            </w:r>
            <w:r w:rsidR="002C5A95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individuals</w:t>
            </w:r>
            <w:r w:rsidR="0093597A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who conduct research and author papers focused in topics unique to issues related to</w:t>
            </w:r>
            <w:r w:rsidR="00D4486F" w:rsidRP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food distribution and</w:t>
            </w:r>
            <w:r w:rsid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marketing</w:t>
            </w:r>
            <w:r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. Award applicants must be </w:t>
            </w:r>
            <w:r w:rsidRPr="004B0066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early career colleagues employed</w:t>
            </w:r>
            <w:r w:rsidR="00CE0E5A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at 1890 and 1994 Universities, </w:t>
            </w:r>
            <w:r w:rsidRPr="004B0066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no more than 5 years </w:t>
            </w:r>
            <w:r w:rsidR="00CE0E5A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beyond earning their</w:t>
            </w:r>
            <w:r w:rsidRPr="004B0066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 xml:space="preserve"> terminal degree</w:t>
            </w:r>
            <w:r w:rsidR="004E2413"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  <w:t>.</w:t>
            </w:r>
          </w:p>
          <w:p w14:paraId="1F211667" w14:textId="77777777" w:rsidR="00CE0E5A" w:rsidRDefault="00CE0E5A" w:rsidP="003133E3">
            <w:pPr>
              <w:spacing w:line="240" w:lineRule="auto"/>
              <w:jc w:val="center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10790" w:type="dxa"/>
              <w:tblLayout w:type="fixed"/>
              <w:tblLook w:val="04A0" w:firstRow="1" w:lastRow="0" w:firstColumn="1" w:lastColumn="0" w:noHBand="0" w:noVBand="1"/>
            </w:tblPr>
            <w:tblGrid>
              <w:gridCol w:w="10530"/>
              <w:gridCol w:w="260"/>
            </w:tblGrid>
            <w:tr w:rsidR="004E2413" w14:paraId="3AFBBB1A" w14:textId="77777777" w:rsidTr="00A550AE">
              <w:tc>
                <w:tcPr>
                  <w:tcW w:w="10790" w:type="dxa"/>
                  <w:gridSpan w:val="2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1D95E18" w14:textId="47C15CB9" w:rsidR="004E2413" w:rsidRPr="00CE0E5A" w:rsidRDefault="00CE0E5A" w:rsidP="004E2413">
                  <w:pPr>
                    <w:jc w:val="center"/>
                    <w:rPr>
                      <w:rFonts w:ascii="Times" w:hAnsi="Times"/>
                      <w:b/>
                      <w:bCs/>
                      <w:i/>
                      <w:iCs/>
                      <w:sz w:val="36"/>
                      <w:szCs w:val="36"/>
                    </w:rPr>
                  </w:pPr>
                  <w:r w:rsidRPr="00CE0E5A">
                    <w:rPr>
                      <w:rFonts w:ascii="Times" w:hAnsi="Times"/>
                      <w:b/>
                      <w:bCs/>
                      <w:i/>
                      <w:iCs/>
                      <w:noProof/>
                      <w:color w:val="auto"/>
                      <w:sz w:val="36"/>
                      <w:szCs w:val="36"/>
                    </w:rPr>
                    <w:t xml:space="preserve">Doug and Anne Richardson Research and Engagement </w:t>
                  </w:r>
                  <w:r w:rsidR="001B3026" w:rsidRPr="00CE0E5A">
                    <w:rPr>
                      <w:rFonts w:ascii="Times" w:eastAsia="Times New Roman" w:hAnsi="Times" w:cs="Times New Roman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  <w:t>Award</w:t>
                  </w:r>
                </w:p>
              </w:tc>
            </w:tr>
            <w:tr w:rsidR="004E2413" w14:paraId="3502256B" w14:textId="77777777" w:rsidTr="001B3026">
              <w:trPr>
                <w:trHeight w:val="2294"/>
              </w:trPr>
              <w:tc>
                <w:tcPr>
                  <w:tcW w:w="10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6459C00" w14:textId="0C3279D9" w:rsidR="004E2413" w:rsidRPr="004E2413" w:rsidRDefault="004E2413" w:rsidP="004E241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0"/>
                    </w:tabs>
                    <w:ind w:left="790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4E241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One</w:t>
                  </w:r>
                  <w:r w:rsidRPr="004E2413">
                    <w:rPr>
                      <w:rFonts w:ascii="Times" w:hAnsi="Times"/>
                      <w:color w:val="000000" w:themeColor="text1"/>
                      <w:spacing w:val="-4"/>
                      <w:sz w:val="28"/>
                      <w:szCs w:val="28"/>
                    </w:rPr>
                    <w:t xml:space="preserve"> </w:t>
                  </w:r>
                  <w:r w:rsidRPr="004E241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travel</w:t>
                  </w:r>
                  <w:r w:rsidRPr="004E2413">
                    <w:rPr>
                      <w:rFonts w:ascii="Times" w:hAnsi="Times"/>
                      <w:color w:val="000000" w:themeColor="text1"/>
                      <w:spacing w:val="-5"/>
                      <w:sz w:val="28"/>
                      <w:szCs w:val="28"/>
                    </w:rPr>
                    <w:t xml:space="preserve"> </w:t>
                  </w:r>
                  <w:r w:rsidRPr="004E241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stipend</w:t>
                  </w:r>
                  <w:r w:rsidRPr="004E2413">
                    <w:rPr>
                      <w:rFonts w:ascii="Times" w:hAnsi="Times"/>
                      <w:color w:val="000000" w:themeColor="text1"/>
                      <w:spacing w:val="-5"/>
                      <w:sz w:val="28"/>
                      <w:szCs w:val="28"/>
                    </w:rPr>
                    <w:t xml:space="preserve"> </w:t>
                  </w:r>
                  <w:r w:rsidR="004B0066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($1,500)</w:t>
                  </w:r>
                </w:p>
                <w:p w14:paraId="177E97C0" w14:textId="7908254B" w:rsidR="004E2413" w:rsidRPr="004E2413" w:rsidRDefault="004E2413" w:rsidP="004E241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0"/>
                    </w:tabs>
                    <w:ind w:left="790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4E241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Complimentary </w:t>
                  </w:r>
                  <w:r w:rsidR="00E24CB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annual </w:t>
                  </w:r>
                  <w:r w:rsidRPr="004E241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FDRS membership</w:t>
                  </w:r>
                  <w:r w:rsidR="00E24CB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 for one year</w:t>
                  </w:r>
                </w:p>
                <w:p w14:paraId="6E905BDE" w14:textId="17B0494D" w:rsidR="004E2413" w:rsidRPr="004E2413" w:rsidRDefault="004E2413" w:rsidP="004E2413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0"/>
                    </w:tabs>
                    <w:ind w:left="790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4E241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Complimentary conference registration fees and recognition at the 2020 FDRS Annual Conference </w:t>
                  </w:r>
                  <w:r w:rsidR="004B0066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Awards Banquet</w:t>
                  </w:r>
                </w:p>
                <w:p w14:paraId="1CA9B143" w14:textId="0164A923" w:rsidR="00A550AE" w:rsidRPr="001B3026" w:rsidRDefault="004B0066" w:rsidP="00A550AE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340"/>
                    </w:tabs>
                    <w:ind w:left="790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4B0066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Award recipients will present their Research Report during the Concurrent Sessions offered during the 20</w:t>
                  </w:r>
                  <w:r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20</w:t>
                  </w:r>
                  <w:r w:rsidRPr="004B0066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 FDRS Annual Conference</w:t>
                  </w:r>
                </w:p>
              </w:tc>
            </w:tr>
            <w:tr w:rsidR="00CE0E5A" w14:paraId="5DF18C47" w14:textId="77777777" w:rsidTr="00CE0E5A">
              <w:trPr>
                <w:trHeight w:val="494"/>
              </w:trPr>
              <w:tc>
                <w:tcPr>
                  <w:tcW w:w="107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856A9" w14:textId="7848AC4C" w:rsidR="00CE0E5A" w:rsidRPr="00CE0E5A" w:rsidRDefault="00CE0E5A" w:rsidP="00CE0E5A">
                  <w:pPr>
                    <w:tabs>
                      <w:tab w:val="left" w:pos="340"/>
                    </w:tabs>
                    <w:ind w:left="430"/>
                    <w:jc w:val="center"/>
                    <w:rPr>
                      <w:rFonts w:ascii="Times" w:hAnsi="Times"/>
                      <w:b/>
                      <w:i/>
                      <w:color w:val="000000" w:themeColor="text1"/>
                      <w:sz w:val="28"/>
                      <w:szCs w:val="28"/>
                    </w:rPr>
                  </w:pPr>
                  <w:r w:rsidRPr="00CE0E5A">
                    <w:rPr>
                      <w:rFonts w:ascii="Times" w:hAnsi="Times"/>
                      <w:b/>
                      <w:i/>
                      <w:color w:val="000000" w:themeColor="text1"/>
                      <w:sz w:val="36"/>
                      <w:szCs w:val="28"/>
                    </w:rPr>
                    <w:t>Award Application Steps</w:t>
                  </w:r>
                </w:p>
              </w:tc>
            </w:tr>
            <w:tr w:rsidR="004E2413" w14:paraId="40C0F1AA" w14:textId="77777777" w:rsidTr="00CE0E5A">
              <w:tc>
                <w:tcPr>
                  <w:tcW w:w="105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7B53FB" w14:textId="77777777" w:rsidR="00CE0E5A" w:rsidRDefault="00CE0E5A" w:rsidP="00CE0E5A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left="360"/>
                    <w:jc w:val="both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CE0E5A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Statement of Intent form  </w:t>
                  </w:r>
                </w:p>
                <w:p w14:paraId="59F61047" w14:textId="1CE7FB2B" w:rsidR="00CE0E5A" w:rsidRPr="00CE0E5A" w:rsidRDefault="00CE0E5A" w:rsidP="00CE0E5A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left="360"/>
                    <w:jc w:val="both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S</w:t>
                  </w:r>
                  <w:r w:rsidRPr="00CE0E5A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ubmit a proposal in response to the Call for Research Reports </w:t>
                  </w:r>
                  <w:r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(must be </w:t>
                  </w:r>
                  <w:r w:rsidRPr="00CE0E5A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selected by the VP Research for inclusion in the Concurrent Sessions.</w:t>
                  </w:r>
                  <w:r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)</w:t>
                  </w:r>
                  <w:r w:rsidRPr="00CE0E5A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14:paraId="14D75306" w14:textId="77777777" w:rsidR="00CE0E5A" w:rsidRDefault="00CE0E5A" w:rsidP="00CE0E5A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left="360"/>
                    <w:jc w:val="both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CE0E5A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Cover letter that includes a brief synopsis of academic training, any food industry experience, and/or research experience and career interests and goals. </w:t>
                  </w:r>
                </w:p>
                <w:p w14:paraId="0FE0666A" w14:textId="15DCE832" w:rsidR="001B3026" w:rsidRPr="00CE0E5A" w:rsidRDefault="00CE0E5A" w:rsidP="00CE0E5A">
                  <w:pPr>
                    <w:pStyle w:val="ListParagraph"/>
                    <w:numPr>
                      <w:ilvl w:val="0"/>
                      <w:numId w:val="5"/>
                    </w:numPr>
                    <w:spacing w:before="0"/>
                    <w:ind w:left="360"/>
                    <w:jc w:val="both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L</w:t>
                  </w:r>
                  <w:r w:rsidRPr="00CE0E5A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etter of recommendation from </w:t>
                  </w:r>
                  <w:r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your department head and/or college dean.</w:t>
                  </w:r>
                </w:p>
                <w:p w14:paraId="3AD34E7F" w14:textId="01F5080A" w:rsidR="00027D78" w:rsidRDefault="00A550AE" w:rsidP="00CE0E5A">
                  <w:pPr>
                    <w:pStyle w:val="BodyText"/>
                    <w:numPr>
                      <w:ilvl w:val="0"/>
                      <w:numId w:val="4"/>
                    </w:numPr>
                    <w:spacing w:before="0"/>
                    <w:ind w:left="360" w:right="266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4E2413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 xml:space="preserve">Applicants are limited to applying only once and subsequent submissions will be not be considered </w:t>
                  </w:r>
                </w:p>
                <w:p w14:paraId="3FB30F27" w14:textId="77777777" w:rsidR="004E2413" w:rsidRDefault="00A550AE" w:rsidP="00CE0E5A">
                  <w:pPr>
                    <w:pStyle w:val="BodyText"/>
                    <w:numPr>
                      <w:ilvl w:val="0"/>
                      <w:numId w:val="4"/>
                    </w:numPr>
                    <w:spacing w:before="0"/>
                    <w:ind w:left="360" w:right="266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027D78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Only one submission will be accepted per university each year</w:t>
                  </w:r>
                </w:p>
                <w:p w14:paraId="2E6237B0" w14:textId="53591E30" w:rsidR="00CE0E5A" w:rsidRPr="00027D78" w:rsidRDefault="00CE0E5A" w:rsidP="00CE0E5A">
                  <w:pPr>
                    <w:pStyle w:val="BodyText"/>
                    <w:numPr>
                      <w:ilvl w:val="0"/>
                      <w:numId w:val="4"/>
                    </w:numPr>
                    <w:spacing w:before="0"/>
                    <w:ind w:left="360" w:right="266"/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</w:pPr>
                  <w:r w:rsidRPr="00CE0E5A">
                    <w:rPr>
                      <w:rFonts w:ascii="Times" w:hAnsi="Times"/>
                      <w:color w:val="000000" w:themeColor="text1"/>
                      <w:sz w:val="28"/>
                      <w:szCs w:val="28"/>
                    </w:rPr>
                    <w:t>Applications are due by June 1, 2020</w:t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FF2F29" w14:textId="77777777" w:rsidR="004E2413" w:rsidRDefault="004E2413" w:rsidP="00D4486F">
                  <w:pPr>
                    <w:rPr>
                      <w:rFonts w:ascii="Times" w:hAnsi="Times"/>
                      <w:sz w:val="24"/>
                      <w:szCs w:val="24"/>
                    </w:rPr>
                  </w:pPr>
                </w:p>
              </w:tc>
            </w:tr>
          </w:tbl>
          <w:p w14:paraId="4503E252" w14:textId="77777777" w:rsidR="004E2413" w:rsidRPr="00D4486F" w:rsidRDefault="004E2413" w:rsidP="00D4486F">
            <w:pPr>
              <w:spacing w:line="240" w:lineRule="auto"/>
              <w:rPr>
                <w:rFonts w:ascii="Times" w:hAnsi="Times"/>
                <w:sz w:val="24"/>
                <w:szCs w:val="24"/>
              </w:rPr>
            </w:pPr>
          </w:p>
        </w:tc>
      </w:tr>
      <w:tr w:rsidR="0093597A" w14:paraId="1D23BE03" w14:textId="77777777" w:rsidTr="00DC2FE1">
        <w:trPr>
          <w:trHeight w:val="141"/>
        </w:trPr>
        <w:tc>
          <w:tcPr>
            <w:tcW w:w="10710" w:type="dxa"/>
            <w:vAlign w:val="center"/>
          </w:tcPr>
          <w:p w14:paraId="6202B698" w14:textId="488BB4AB" w:rsidR="0093597A" w:rsidRPr="004E2413" w:rsidRDefault="0093597A" w:rsidP="00D4486F">
            <w:pPr>
              <w:spacing w:line="240" w:lineRule="auto"/>
              <w:rPr>
                <w:rFonts w:ascii="Times" w:eastAsia="Times New Roman" w:hAnsi="Times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A2B5D7D" w14:textId="778C2062" w:rsidR="004E2413" w:rsidRDefault="004E2413" w:rsidP="00626BBF">
      <w:pPr>
        <w:pStyle w:val="Heading1"/>
        <w:shd w:val="clear" w:color="auto" w:fill="D9D9D9" w:themeFill="background1" w:themeFillShade="D9"/>
        <w:rPr>
          <w:rFonts w:ascii="Times" w:hAnsi="Times"/>
          <w:color w:val="000000" w:themeColor="text1"/>
          <w:sz w:val="32"/>
        </w:rPr>
      </w:pPr>
      <w:r w:rsidRPr="004E2413">
        <w:rPr>
          <w:rFonts w:ascii="Times" w:hAnsi="Times"/>
          <w:color w:val="000000" w:themeColor="text1"/>
          <w:sz w:val="32"/>
        </w:rPr>
        <w:t xml:space="preserve">For more information contact FDRS’s Vice President of </w:t>
      </w:r>
      <w:r w:rsidR="00097858">
        <w:rPr>
          <w:rFonts w:ascii="Times" w:hAnsi="Times"/>
          <w:color w:val="000000" w:themeColor="text1"/>
          <w:sz w:val="32"/>
        </w:rPr>
        <w:t>Research</w:t>
      </w:r>
      <w:r w:rsidRPr="004E2413">
        <w:rPr>
          <w:rFonts w:ascii="Times" w:hAnsi="Times"/>
          <w:color w:val="000000" w:themeColor="text1"/>
          <w:sz w:val="32"/>
        </w:rPr>
        <w:t xml:space="preserve">: </w:t>
      </w:r>
    </w:p>
    <w:p w14:paraId="4CAE5B40" w14:textId="05502A16" w:rsidR="004E2413" w:rsidRPr="004E2413" w:rsidRDefault="004E2413" w:rsidP="00626BBF">
      <w:pPr>
        <w:pStyle w:val="Heading1"/>
        <w:shd w:val="clear" w:color="auto" w:fill="D9D9D9" w:themeFill="background1" w:themeFillShade="D9"/>
        <w:rPr>
          <w:rFonts w:ascii="Times" w:hAnsi="Times"/>
          <w:color w:val="000000" w:themeColor="text1"/>
          <w:sz w:val="32"/>
        </w:rPr>
      </w:pPr>
      <w:r w:rsidRPr="004E2413">
        <w:rPr>
          <w:rFonts w:ascii="Times" w:hAnsi="Times"/>
          <w:color w:val="000000" w:themeColor="text1"/>
          <w:sz w:val="32"/>
        </w:rPr>
        <w:t xml:space="preserve">Dr. </w:t>
      </w:r>
      <w:r w:rsidR="00097858">
        <w:rPr>
          <w:rFonts w:ascii="Times" w:hAnsi="Times"/>
          <w:color w:val="000000" w:themeColor="text1"/>
          <w:sz w:val="32"/>
        </w:rPr>
        <w:t>Lurleen Walters</w:t>
      </w:r>
      <w:r w:rsidRPr="004E2413">
        <w:rPr>
          <w:rFonts w:ascii="Times" w:hAnsi="Times"/>
          <w:color w:val="000000" w:themeColor="text1"/>
          <w:sz w:val="32"/>
        </w:rPr>
        <w:t xml:space="preserve"> at </w:t>
      </w:r>
      <w:bookmarkStart w:id="0" w:name="_GoBack"/>
      <w:bookmarkEnd w:id="0"/>
      <w:r w:rsidR="005F4027">
        <w:rPr>
          <w:rFonts w:ascii="Times" w:hAnsi="Times"/>
          <w:color w:val="000000" w:themeColor="text1"/>
          <w:sz w:val="32"/>
          <w:u w:val="single" w:color="5959FF"/>
        </w:rPr>
        <w:fldChar w:fldCharType="begin"/>
      </w:r>
      <w:r w:rsidR="005F4027">
        <w:rPr>
          <w:rFonts w:ascii="Times" w:hAnsi="Times"/>
          <w:color w:val="000000" w:themeColor="text1"/>
          <w:sz w:val="32"/>
          <w:u w:val="single" w:color="5959FF"/>
        </w:rPr>
        <w:instrText xml:space="preserve"> HYPERLINK "mailto:</w:instrText>
      </w:r>
      <w:r w:rsidR="005F4027" w:rsidRPr="005F4027">
        <w:rPr>
          <w:rFonts w:ascii="Times" w:hAnsi="Times"/>
          <w:color w:val="000000" w:themeColor="text1"/>
          <w:sz w:val="32"/>
          <w:u w:val="single" w:color="5959FF"/>
        </w:rPr>
        <w:instrText>LWalters@ufl.edu</w:instrText>
      </w:r>
      <w:r w:rsidR="005F4027">
        <w:rPr>
          <w:rFonts w:ascii="Times" w:hAnsi="Times"/>
          <w:color w:val="000000" w:themeColor="text1"/>
          <w:sz w:val="32"/>
          <w:u w:val="single" w:color="5959FF"/>
        </w:rPr>
        <w:instrText xml:space="preserve">" </w:instrText>
      </w:r>
      <w:r w:rsidR="005F4027">
        <w:rPr>
          <w:rFonts w:ascii="Times" w:hAnsi="Times"/>
          <w:color w:val="000000" w:themeColor="text1"/>
          <w:sz w:val="32"/>
          <w:u w:val="single" w:color="5959FF"/>
        </w:rPr>
        <w:fldChar w:fldCharType="separate"/>
      </w:r>
      <w:r w:rsidR="005F4027" w:rsidRPr="00DA6E14">
        <w:rPr>
          <w:rStyle w:val="Hyperlink"/>
          <w:rFonts w:ascii="Times" w:hAnsi="Times"/>
          <w:sz w:val="32"/>
          <w:u w:color="5959FF"/>
        </w:rPr>
        <w:t>LWalters@ufl.edu</w:t>
      </w:r>
      <w:r w:rsidR="005F4027">
        <w:rPr>
          <w:rFonts w:ascii="Times" w:hAnsi="Times"/>
          <w:color w:val="000000" w:themeColor="text1"/>
          <w:sz w:val="32"/>
          <w:u w:val="single" w:color="5959FF"/>
        </w:rPr>
        <w:fldChar w:fldCharType="end"/>
      </w:r>
    </w:p>
    <w:sectPr w:rsidR="004E2413" w:rsidRPr="004E2413" w:rsidSect="004E2413">
      <w:pgSz w:w="12240" w:h="15840"/>
      <w:pgMar w:top="720" w:right="720" w:bottom="50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C760" w14:textId="77777777" w:rsidR="004D1331" w:rsidRDefault="004D1331">
      <w:pPr>
        <w:spacing w:after="0" w:line="240" w:lineRule="auto"/>
      </w:pPr>
      <w:r>
        <w:separator/>
      </w:r>
    </w:p>
  </w:endnote>
  <w:endnote w:type="continuationSeparator" w:id="0">
    <w:p w14:paraId="5501620A" w14:textId="77777777" w:rsidR="004D1331" w:rsidRDefault="004D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14088" w14:textId="77777777" w:rsidR="004D1331" w:rsidRDefault="004D1331">
      <w:pPr>
        <w:spacing w:after="0" w:line="240" w:lineRule="auto"/>
      </w:pPr>
      <w:r>
        <w:separator/>
      </w:r>
    </w:p>
  </w:footnote>
  <w:footnote w:type="continuationSeparator" w:id="0">
    <w:p w14:paraId="6C62CF9F" w14:textId="77777777" w:rsidR="004D1331" w:rsidRDefault="004D1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322C"/>
    <w:multiLevelType w:val="hybridMultilevel"/>
    <w:tmpl w:val="1F44FD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FDE1390"/>
    <w:multiLevelType w:val="hybridMultilevel"/>
    <w:tmpl w:val="DB1E8EE4"/>
    <w:lvl w:ilvl="0" w:tplc="78F01018">
      <w:numFmt w:val="bullet"/>
      <w:lvlText w:val="•"/>
      <w:lvlJc w:val="left"/>
      <w:pPr>
        <w:ind w:left="1080" w:hanging="72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E1493"/>
    <w:multiLevelType w:val="hybridMultilevel"/>
    <w:tmpl w:val="09FC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CB66BC"/>
    <w:multiLevelType w:val="hybridMultilevel"/>
    <w:tmpl w:val="B50E84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 w15:restartNumberingAfterBreak="0">
    <w:nsid w:val="5C672685"/>
    <w:multiLevelType w:val="hybridMultilevel"/>
    <w:tmpl w:val="064A7ECE"/>
    <w:lvl w:ilvl="0" w:tplc="DADCA412">
      <w:numFmt w:val="bullet"/>
      <w:lvlText w:val="•"/>
      <w:lvlJc w:val="left"/>
      <w:pPr>
        <w:ind w:left="123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" w15:restartNumberingAfterBreak="0">
    <w:nsid w:val="738F03A4"/>
    <w:multiLevelType w:val="hybridMultilevel"/>
    <w:tmpl w:val="D44855C0"/>
    <w:lvl w:ilvl="0" w:tplc="352E8D30">
      <w:numFmt w:val="bullet"/>
      <w:lvlText w:val="•"/>
      <w:lvlJc w:val="left"/>
      <w:pPr>
        <w:ind w:left="873" w:hanging="360"/>
      </w:pPr>
      <w:rPr>
        <w:rFonts w:ascii="Arial" w:eastAsia="Arial" w:hAnsi="Arial" w:cs="Arial" w:hint="default"/>
        <w:color w:val="585858"/>
        <w:w w:val="130"/>
        <w:sz w:val="22"/>
        <w:szCs w:val="22"/>
      </w:rPr>
    </w:lvl>
    <w:lvl w:ilvl="1" w:tplc="0BDEA2A4">
      <w:numFmt w:val="bullet"/>
      <w:lvlText w:val="•"/>
      <w:lvlJc w:val="left"/>
      <w:pPr>
        <w:ind w:left="1134" w:hanging="360"/>
      </w:pPr>
      <w:rPr>
        <w:rFonts w:ascii="Arial" w:eastAsia="Arial" w:hAnsi="Arial" w:cs="Arial" w:hint="default"/>
        <w:color w:val="585858"/>
        <w:w w:val="130"/>
        <w:sz w:val="22"/>
        <w:szCs w:val="22"/>
      </w:rPr>
    </w:lvl>
    <w:lvl w:ilvl="2" w:tplc="DADCA412"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BFEE815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EDC8A5D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4718BE16"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07FA7496"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08D2DFFA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30B6FADA">
      <w:numFmt w:val="bullet"/>
      <w:lvlText w:val="•"/>
      <w:lvlJc w:val="left"/>
      <w:pPr>
        <w:ind w:left="9026" w:hanging="360"/>
      </w:pPr>
      <w:rPr>
        <w:rFonts w:hint="default"/>
      </w:rPr>
    </w:lvl>
  </w:abstractNum>
  <w:abstractNum w:abstractNumId="6" w15:restartNumberingAfterBreak="0">
    <w:nsid w:val="7A4B546D"/>
    <w:multiLevelType w:val="hybridMultilevel"/>
    <w:tmpl w:val="3C0029E0"/>
    <w:lvl w:ilvl="0" w:tplc="DADCA412">
      <w:numFmt w:val="bullet"/>
      <w:lvlText w:val="•"/>
      <w:lvlJc w:val="left"/>
      <w:pPr>
        <w:ind w:left="873" w:hanging="360"/>
      </w:pPr>
      <w:rPr>
        <w:rFonts w:hint="default"/>
        <w:color w:val="585858"/>
        <w:w w:val="130"/>
        <w:sz w:val="22"/>
        <w:szCs w:val="22"/>
      </w:rPr>
    </w:lvl>
    <w:lvl w:ilvl="1" w:tplc="0BDEA2A4">
      <w:numFmt w:val="bullet"/>
      <w:lvlText w:val="•"/>
      <w:lvlJc w:val="left"/>
      <w:pPr>
        <w:ind w:left="1134" w:hanging="360"/>
      </w:pPr>
      <w:rPr>
        <w:rFonts w:ascii="Arial" w:eastAsia="Arial" w:hAnsi="Arial" w:cs="Arial" w:hint="default"/>
        <w:color w:val="585858"/>
        <w:w w:val="130"/>
        <w:sz w:val="22"/>
        <w:szCs w:val="22"/>
      </w:rPr>
    </w:lvl>
    <w:lvl w:ilvl="2" w:tplc="DADCA412">
      <w:numFmt w:val="bullet"/>
      <w:lvlText w:val="•"/>
      <w:lvlJc w:val="left"/>
      <w:pPr>
        <w:ind w:left="2266" w:hanging="360"/>
      </w:pPr>
      <w:rPr>
        <w:rFonts w:hint="default"/>
      </w:rPr>
    </w:lvl>
    <w:lvl w:ilvl="3" w:tplc="BFEE815A">
      <w:numFmt w:val="bullet"/>
      <w:lvlText w:val="•"/>
      <w:lvlJc w:val="left"/>
      <w:pPr>
        <w:ind w:left="3393" w:hanging="360"/>
      </w:pPr>
      <w:rPr>
        <w:rFonts w:hint="default"/>
      </w:rPr>
    </w:lvl>
    <w:lvl w:ilvl="4" w:tplc="EDC8A5DA">
      <w:numFmt w:val="bullet"/>
      <w:lvlText w:val="•"/>
      <w:lvlJc w:val="left"/>
      <w:pPr>
        <w:ind w:left="4520" w:hanging="360"/>
      </w:pPr>
      <w:rPr>
        <w:rFonts w:hint="default"/>
      </w:rPr>
    </w:lvl>
    <w:lvl w:ilvl="5" w:tplc="4718BE16">
      <w:numFmt w:val="bullet"/>
      <w:lvlText w:val="•"/>
      <w:lvlJc w:val="left"/>
      <w:pPr>
        <w:ind w:left="5646" w:hanging="360"/>
      </w:pPr>
      <w:rPr>
        <w:rFonts w:hint="default"/>
      </w:rPr>
    </w:lvl>
    <w:lvl w:ilvl="6" w:tplc="07FA7496">
      <w:numFmt w:val="bullet"/>
      <w:lvlText w:val="•"/>
      <w:lvlJc w:val="left"/>
      <w:pPr>
        <w:ind w:left="6773" w:hanging="360"/>
      </w:pPr>
      <w:rPr>
        <w:rFonts w:hint="default"/>
      </w:rPr>
    </w:lvl>
    <w:lvl w:ilvl="7" w:tplc="08D2DFFA">
      <w:numFmt w:val="bullet"/>
      <w:lvlText w:val="•"/>
      <w:lvlJc w:val="left"/>
      <w:pPr>
        <w:ind w:left="7900" w:hanging="360"/>
      </w:pPr>
      <w:rPr>
        <w:rFonts w:hint="default"/>
      </w:rPr>
    </w:lvl>
    <w:lvl w:ilvl="8" w:tplc="30B6FADA">
      <w:numFmt w:val="bullet"/>
      <w:lvlText w:val="•"/>
      <w:lvlJc w:val="left"/>
      <w:pPr>
        <w:ind w:left="9026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6F"/>
    <w:rsid w:val="00027D78"/>
    <w:rsid w:val="00097858"/>
    <w:rsid w:val="001B3026"/>
    <w:rsid w:val="002245C6"/>
    <w:rsid w:val="002C5A95"/>
    <w:rsid w:val="003133E3"/>
    <w:rsid w:val="004B0066"/>
    <w:rsid w:val="004C3DEB"/>
    <w:rsid w:val="004D1331"/>
    <w:rsid w:val="004E2413"/>
    <w:rsid w:val="005F4027"/>
    <w:rsid w:val="00606601"/>
    <w:rsid w:val="00626BBF"/>
    <w:rsid w:val="00837BB3"/>
    <w:rsid w:val="0093597A"/>
    <w:rsid w:val="00A550AE"/>
    <w:rsid w:val="00AD16DE"/>
    <w:rsid w:val="00BC2FCD"/>
    <w:rsid w:val="00CE0E5A"/>
    <w:rsid w:val="00D4486F"/>
    <w:rsid w:val="00D74828"/>
    <w:rsid w:val="00DC2FE1"/>
    <w:rsid w:val="00E22068"/>
    <w:rsid w:val="00E24CB3"/>
    <w:rsid w:val="00E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CA7A6"/>
  <w15:chartTrackingRefBased/>
  <w15:docId w15:val="{B34E3BE6-F753-6E44-AA62-0D769793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3"/>
    <w:qFormat/>
    <w:pPr>
      <w:keepNext/>
      <w:keepLines/>
      <w:pBdr>
        <w:top w:val="single" w:sz="4" w:space="31" w:color="A5B592" w:themeColor="accent1"/>
        <w:bottom w:val="single" w:sz="4" w:space="31" w:color="A5B592" w:themeColor="accent1"/>
      </w:pBdr>
      <w:shd w:val="clear" w:color="auto" w:fill="A5B592" w:themeFill="accent1"/>
      <w:spacing w:after="320" w:line="240" w:lineRule="auto"/>
      <w:contextualSpacing/>
      <w:jc w:val="center"/>
      <w:outlineLvl w:val="0"/>
    </w:pPr>
    <w:rPr>
      <w:rFonts w:asciiTheme="majorHAnsi" w:eastAsiaTheme="majorEastAsia" w:hAnsiTheme="majorHAnsi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after="60" w:line="288" w:lineRule="auto"/>
      <w:contextualSpacing/>
      <w:outlineLvl w:val="1"/>
    </w:pPr>
    <w:rPr>
      <w:rFonts w:asciiTheme="majorHAnsi" w:eastAsiaTheme="majorEastAsia" w:hAnsiTheme="majorHAnsi" w:cstheme="majorBidi"/>
      <w:color w:val="7C9163" w:themeColor="accent1" w:themeShade="BF"/>
      <w:sz w:val="24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526041" w:themeColor="accent1" w:themeShade="7F"/>
      <w:sz w:val="22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4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pPr>
      <w:keepNext/>
      <w:keepLines/>
      <w:spacing w:before="40" w:after="0"/>
      <w:contextualSpacing/>
      <w:jc w:val="center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0" w:line="240" w:lineRule="auto"/>
      <w:ind w:left="72" w:right="72"/>
      <w:contextualSpacing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FFFFFF" w:themeColor="background1"/>
      <w:sz w:val="52"/>
      <w:szCs w:val="32"/>
      <w:shd w:val="clear" w:color="auto" w:fill="A5B592" w:themeFill="accent1"/>
    </w:rPr>
  </w:style>
  <w:style w:type="paragraph" w:styleId="BlockText">
    <w:name w:val="Block Text"/>
    <w:basedOn w:val="Normal"/>
    <w:uiPriority w:val="3"/>
    <w:unhideWhenUsed/>
    <w:qFormat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C916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7C9163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26041" w:themeColor="accent1" w:themeShade="7F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paragraph" w:styleId="ListParagraph">
    <w:name w:val="List Paragraph"/>
    <w:basedOn w:val="Normal"/>
    <w:uiPriority w:val="1"/>
    <w:qFormat/>
    <w:rsid w:val="004E2413"/>
    <w:pPr>
      <w:widowControl w:val="0"/>
      <w:autoSpaceDE w:val="0"/>
      <w:autoSpaceDN w:val="0"/>
      <w:spacing w:before="27" w:after="0" w:line="240" w:lineRule="auto"/>
      <w:ind w:left="1134"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4E2413"/>
    <w:pPr>
      <w:widowControl w:val="0"/>
      <w:autoSpaceDE w:val="0"/>
      <w:autoSpaceDN w:val="0"/>
      <w:spacing w:before="27" w:after="0" w:line="240" w:lineRule="auto"/>
      <w:ind w:left="1134" w:hanging="360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E2413"/>
    <w:rPr>
      <w:rFonts w:ascii="Times New Roman" w:eastAsia="Times New Roman" w:hAnsi="Times New Roman" w:cs="Times New Roman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7858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dvantage Brochur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AACA56-6547-4F01-94B0-3BD1AE9C7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Kelley</dc:creator>
  <cp:keywords/>
  <dc:description/>
  <cp:lastModifiedBy>Morgan, Kimberly</cp:lastModifiedBy>
  <cp:revision>7</cp:revision>
  <dcterms:created xsi:type="dcterms:W3CDTF">2019-10-06T23:20:00Z</dcterms:created>
  <dcterms:modified xsi:type="dcterms:W3CDTF">2019-10-06T23:44:00Z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AssetID">
    <vt:lpwstr>TF10002065</vt:lpwstr>
  </property>
</Properties>
</file>